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379B7C1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A73AF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A73AF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10A5022" w:rsidR="00CA516B" w:rsidRPr="00BA73AF" w:rsidRDefault="00BA73AF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BA73AF">
              <w:rPr>
                <w:rFonts w:ascii="Arial" w:hAnsi="Arial" w:cs="Arial"/>
                <w:color w:val="000000" w:themeColor="text1"/>
                <w:sz w:val="20"/>
              </w:rPr>
              <w:t>Budowa nowoczesnej platformy gromadzenia i analizy danych z Kra-jowego Rejestru Nowotworów oraz onkologicznych rejestrów narzą-dowych, zintegrowanej z bazami świadczeniodawców leczących cho-roby onkologiczne (e-KRN+).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CCF32C4" w:rsidR="00CA516B" w:rsidRPr="00141A92" w:rsidRDefault="00BA73A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Narodowy Instytut Onkologii im. Marii Skłodowskiej-Curie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</w:t>
            </w: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Państwowy Instytut Badawczy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C8349" w:rsidR="00CA516B" w:rsidRPr="006822BC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Narodowy Instytut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Onkologii im. Marii Skłodowskiej-Curie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Państwowy Instytut Badawczy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Warszawie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C705F74" w:rsidR="00CA516B" w:rsidRPr="00BA73AF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>Instytut Hematologii i Transfuzjologii w Warszawie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D67B0" w14:textId="77777777" w:rsidR="00BA73AF" w:rsidRPr="00702205" w:rsidRDefault="00BA73AF" w:rsidP="00BA73AF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Budżet Państwa, część budżetowa 83 </w:t>
            </w:r>
          </w:p>
          <w:p w14:paraId="55582688" w14:textId="32BFA0F5" w:rsidR="00CA516B" w:rsidRPr="00141A92" w:rsidRDefault="00BA73AF" w:rsidP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Program Operacyjny Polska Cyfrowa, II E-administracja i otwarty rząd, 2.2 Cyfryzacja procesów back-office w administracji rządowej.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CF9F6A8" w:rsidR="00CA516B" w:rsidRPr="00141A92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C8872AF" w:rsidR="005212C8" w:rsidRPr="00141A92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69F8F" w14:textId="77777777" w:rsidR="00BA73AF" w:rsidRPr="00702205" w:rsidRDefault="00BA73AF" w:rsidP="00BA73AF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01.07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.2019</w:t>
            </w:r>
          </w:p>
          <w:p w14:paraId="55CE9679" w14:textId="5EE5E1BC" w:rsidR="00CA516B" w:rsidRPr="00141A92" w:rsidRDefault="00BA73AF" w:rsidP="00BA73AF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 : 30.06.2022</w:t>
            </w:r>
          </w:p>
        </w:tc>
      </w:tr>
    </w:tbl>
    <w:p w14:paraId="30071234" w14:textId="14A520FB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5CC2B4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305072" w:rsidRPr="0098105B">
        <w:rPr>
          <w:rFonts w:ascii="Arial" w:hAnsi="Arial" w:cs="Arial"/>
          <w:color w:val="000000" w:themeColor="text1"/>
          <w:sz w:val="22"/>
          <w:szCs w:val="22"/>
        </w:rPr>
        <w:t>Realizacja projektu w zakresie działania KRN nie wymag</w:t>
      </w:r>
      <w:r w:rsidR="00305072">
        <w:rPr>
          <w:rFonts w:ascii="Arial" w:hAnsi="Arial" w:cs="Arial"/>
          <w:color w:val="000000" w:themeColor="text1"/>
          <w:sz w:val="22"/>
          <w:szCs w:val="22"/>
        </w:rPr>
        <w:t>a zmian w wyżej wymienionych ak</w:t>
      </w:r>
      <w:r w:rsidR="00305072" w:rsidRPr="0098105B">
        <w:rPr>
          <w:rFonts w:ascii="Arial" w:hAnsi="Arial" w:cs="Arial"/>
          <w:color w:val="000000" w:themeColor="text1"/>
          <w:sz w:val="22"/>
          <w:szCs w:val="22"/>
        </w:rPr>
        <w:t>tach prawnych. Planowane utworzenie w trakcie projektu Polskiego Rejestru Onko-Hematologicznego (PROH) wymaga rozporządzenia Ministra Zdrowia zgodnie z art. 20 usta-wy o systemie informacji w ochronie zdrowia (Dz.U. 2018 poz. 1515). Prace związane z opracowaniem treści rozporządzenia są w toku. Treść rozporządzenia została przygotowania w IV kwartale 2018 roku.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E3862" w:rsidRPr="002B50C0" w14:paraId="59735F91" w14:textId="77777777" w:rsidTr="0095429E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7C8D26" w14:textId="1218A793" w:rsidR="002E3862" w:rsidRPr="00141A92" w:rsidRDefault="002E3862" w:rsidP="002E38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33,33%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CB9ADB" w14:textId="77777777" w:rsidR="002E3862" w:rsidRDefault="002E3862" w:rsidP="002E3862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4,02 % wydatków kwalifikowalnych</w:t>
            </w:r>
          </w:p>
          <w:p w14:paraId="780094DA" w14:textId="77777777" w:rsidR="002E3862" w:rsidRDefault="002E3862" w:rsidP="002E38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5B7278" w14:textId="77777777" w:rsidR="002E3862" w:rsidRDefault="002E3862" w:rsidP="002E3862">
            <w:pPr>
              <w:ind w:left="317" w:hanging="31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2. 2,29 %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wydatków kwalifikowalnych</w:t>
            </w:r>
          </w:p>
          <w:p w14:paraId="5443486C" w14:textId="77777777" w:rsidR="002E3862" w:rsidRDefault="002E3862" w:rsidP="002E38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29DAC9" w14:textId="343E477A" w:rsidR="002E3862" w:rsidRPr="00141A92" w:rsidRDefault="002E3862" w:rsidP="002E38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nie dotyczy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BB31D3" w14:textId="0D4EC91A" w:rsidR="002E3862" w:rsidRPr="00141A92" w:rsidRDefault="002E3862" w:rsidP="002E38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78,65% środków zaangażowanych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8E37A2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05072" w:rsidRPr="002B50C0" w14:paraId="6AC3DB07" w14:textId="77777777" w:rsidTr="006B5117">
        <w:tc>
          <w:tcPr>
            <w:tcW w:w="2127" w:type="dxa"/>
          </w:tcPr>
          <w:p w14:paraId="79C67474" w14:textId="5D07D9CF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Opracowanie dokumentacji SIWZ i koncepcji systemu ZPRO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13BCAAB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E2735B6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14" w:type="dxa"/>
          </w:tcPr>
          <w:p w14:paraId="2F14513F" w14:textId="7DF22F33" w:rsidR="00305072" w:rsidRPr="00141A92" w:rsidRDefault="0095429E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bookmarkStart w:id="0" w:name="_GoBack"/>
            <w:bookmarkEnd w:id="0"/>
            <w:r w:rsidRPr="0095429E">
              <w:rPr>
                <w:rFonts w:ascii="Arial" w:hAnsi="Arial" w:cs="Arial"/>
                <w:color w:val="000000" w:themeColor="text1"/>
                <w:sz w:val="18"/>
              </w:rPr>
              <w:t>04-2020</w:t>
            </w:r>
          </w:p>
        </w:tc>
        <w:tc>
          <w:tcPr>
            <w:tcW w:w="2802" w:type="dxa"/>
          </w:tcPr>
          <w:p w14:paraId="66AF3652" w14:textId="23599EF4" w:rsidR="00305072" w:rsidRPr="00141A92" w:rsidRDefault="00ED3018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commentRangeStart w:id="1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305072">
              <w:rPr>
                <w:rFonts w:ascii="Arial" w:hAnsi="Arial" w:cs="Arial"/>
                <w:color w:val="000000" w:themeColor="text1"/>
                <w:sz w:val="20"/>
                <w:szCs w:val="20"/>
              </w:rPr>
              <w:t>siągnięty</w:t>
            </w:r>
            <w:commentRangeEnd w:id="1"/>
          </w:p>
        </w:tc>
      </w:tr>
      <w:tr w:rsidR="00305072" w:rsidRPr="002B50C0" w14:paraId="5E979454" w14:textId="77777777" w:rsidTr="006B5117">
        <w:tc>
          <w:tcPr>
            <w:tcW w:w="2127" w:type="dxa"/>
          </w:tcPr>
          <w:p w14:paraId="3B24C18F" w14:textId="78223361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Wybór wykonawcy systemu ZPRO i podpisanie umowy.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6218" w14:textId="77777777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19EFB6" w14:textId="5319FA69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14" w:type="dxa"/>
          </w:tcPr>
          <w:p w14:paraId="640DED69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78881456" w14:textId="63B8B8A1" w:rsidR="00305072" w:rsidRDefault="00ED3018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05072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0559BC40" w14:textId="3EA19F99" w:rsidR="00ED3018" w:rsidRPr="00124DF1" w:rsidRDefault="00ED3018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Przetarg na wyłonienie wykonawcy został ogłoszony. Termin otwarcia of</w:t>
            </w:r>
            <w:r w:rsidR="002E3862">
              <w:rPr>
                <w:rFonts w:ascii="Arial" w:hAnsi="Arial" w:cs="Arial"/>
                <w:color w:val="000000" w:themeColor="text1"/>
                <w:sz w:val="20"/>
                <w:szCs w:val="20"/>
              </w:rPr>
              <w:t>ert planowany na 13 lipca 2020 (w drugim terminie)</w:t>
            </w:r>
          </w:p>
        </w:tc>
      </w:tr>
      <w:tr w:rsidR="00305072" w:rsidRPr="002B50C0" w14:paraId="0BAC1219" w14:textId="77777777" w:rsidTr="006B5117">
        <w:tc>
          <w:tcPr>
            <w:tcW w:w="2127" w:type="dxa"/>
          </w:tcPr>
          <w:p w14:paraId="47314ABF" w14:textId="633F0AF1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Zakończenie badań z prototypem ZPRO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4C9D" w14:textId="77777777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410AF7" w14:textId="0493B2CB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14:paraId="404E56BC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18623C32" w14:textId="313ED729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72872899" w14:textId="77777777" w:rsidTr="006B5117">
        <w:tc>
          <w:tcPr>
            <w:tcW w:w="2127" w:type="dxa"/>
          </w:tcPr>
          <w:p w14:paraId="62239B8A" w14:textId="462D6F0A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Dostawa sprzętu i oprogramowania COST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BD68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8</w:t>
            </w:r>
          </w:p>
          <w:p w14:paraId="08B41268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</w:t>
            </w:r>
          </w:p>
          <w:p w14:paraId="0B12E9C8" w14:textId="7F32C82A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7</w:t>
            </w:r>
          </w:p>
        </w:tc>
        <w:tc>
          <w:tcPr>
            <w:tcW w:w="1289" w:type="dxa"/>
          </w:tcPr>
          <w:p w14:paraId="6F9F5FAA" w14:textId="5A35EFCA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06-2021 </w:t>
            </w:r>
          </w:p>
        </w:tc>
        <w:tc>
          <w:tcPr>
            <w:tcW w:w="1914" w:type="dxa"/>
          </w:tcPr>
          <w:p w14:paraId="5025FDEF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5C8B995B" w14:textId="623CEE06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356256D9" w14:textId="77777777" w:rsidTr="006B5117">
        <w:tc>
          <w:tcPr>
            <w:tcW w:w="2127" w:type="dxa"/>
          </w:tcPr>
          <w:p w14:paraId="1FAAD709" w14:textId="18AA96D4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generator rejestrów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3947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</w:tcPr>
          <w:p w14:paraId="6E8A3DCB" w14:textId="63690E3E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09-2021 </w:t>
            </w:r>
          </w:p>
        </w:tc>
        <w:tc>
          <w:tcPr>
            <w:tcW w:w="1914" w:type="dxa"/>
          </w:tcPr>
          <w:p w14:paraId="48718F41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479189DA" w14:textId="50544873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6DBCD12D" w14:textId="77777777" w:rsidTr="006B5117">
        <w:tc>
          <w:tcPr>
            <w:tcW w:w="2127" w:type="dxa"/>
          </w:tcPr>
          <w:p w14:paraId="4506685E" w14:textId="7FB1AD7F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rejestr KRN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CE9B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  <w:p w14:paraId="3657F8AF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7. 32</w:t>
            </w:r>
          </w:p>
          <w:p w14:paraId="21DEA795" w14:textId="67EC2C63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8. 8</w:t>
            </w:r>
          </w:p>
        </w:tc>
        <w:tc>
          <w:tcPr>
            <w:tcW w:w="1289" w:type="dxa"/>
          </w:tcPr>
          <w:p w14:paraId="75CFB2E7" w14:textId="6A6FB17F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914" w:type="dxa"/>
          </w:tcPr>
          <w:p w14:paraId="3C0F3577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E82DF49" w14:textId="59F945AE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52CB3790" w14:textId="77777777" w:rsidTr="006B5117">
        <w:tc>
          <w:tcPr>
            <w:tcW w:w="2127" w:type="dxa"/>
          </w:tcPr>
          <w:p w14:paraId="38C52D89" w14:textId="591F6BC6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Udostępniony rejestr PROH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6A51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  <w:p w14:paraId="4AD961AB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7. 8</w:t>
            </w:r>
          </w:p>
          <w:p w14:paraId="7F70B97B" w14:textId="1084B876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8. 2</w:t>
            </w:r>
          </w:p>
        </w:tc>
        <w:tc>
          <w:tcPr>
            <w:tcW w:w="1289" w:type="dxa"/>
          </w:tcPr>
          <w:p w14:paraId="2288A649" w14:textId="4EA54A74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914" w:type="dxa"/>
          </w:tcPr>
          <w:p w14:paraId="6F600912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5248ED7A" w14:textId="362617D6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4456E013" w14:textId="77777777" w:rsidTr="006B5117">
        <w:tc>
          <w:tcPr>
            <w:tcW w:w="2127" w:type="dxa"/>
          </w:tcPr>
          <w:p w14:paraId="0A3C1330" w14:textId="53DF137D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Uruchomiona integracja z systemami szpitalnymi partnerów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B9367" w14:textId="77777777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9. 0</w:t>
            </w:r>
          </w:p>
          <w:p w14:paraId="3DB8DBE0" w14:textId="6152ACF5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10. 0</w:t>
            </w:r>
          </w:p>
        </w:tc>
        <w:tc>
          <w:tcPr>
            <w:tcW w:w="1289" w:type="dxa"/>
          </w:tcPr>
          <w:p w14:paraId="77D7E621" w14:textId="3BC22B5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914" w:type="dxa"/>
          </w:tcPr>
          <w:p w14:paraId="30A48450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274C283" w14:textId="23057782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4F4DC3FC" w14:textId="77777777" w:rsidTr="006B5117">
        <w:tc>
          <w:tcPr>
            <w:tcW w:w="2127" w:type="dxa"/>
          </w:tcPr>
          <w:p w14:paraId="7CBDCED3" w14:textId="75648970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Odebrana dokumentacja techniczna platformy ZPRO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874C" w14:textId="77777777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11. 4</w:t>
            </w:r>
          </w:p>
          <w:p w14:paraId="18B46FFD" w14:textId="7BC840F4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12. 87%</w:t>
            </w:r>
          </w:p>
        </w:tc>
        <w:tc>
          <w:tcPr>
            <w:tcW w:w="1289" w:type="dxa"/>
          </w:tcPr>
          <w:p w14:paraId="5D38EFC9" w14:textId="4C70C262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03-2022</w:t>
            </w:r>
          </w:p>
        </w:tc>
        <w:tc>
          <w:tcPr>
            <w:tcW w:w="1914" w:type="dxa"/>
          </w:tcPr>
          <w:p w14:paraId="6C53D8AB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7AC127A" w14:textId="1CDDF941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ED301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D3018" w14:paraId="22BD4E62" w14:textId="77777777" w:rsidTr="00ED3018">
        <w:tc>
          <w:tcPr>
            <w:tcW w:w="2545" w:type="dxa"/>
            <w:hideMark/>
          </w:tcPr>
          <w:p w14:paraId="0EC643E0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1.Liczba podmiotów, które usprawniły funkcjonowanie w zakresie objętym katalogiem rekomendacji dotyczących awansu cyfrowego.</w:t>
            </w:r>
          </w:p>
        </w:tc>
        <w:tc>
          <w:tcPr>
            <w:tcW w:w="1278" w:type="dxa"/>
            <w:hideMark/>
          </w:tcPr>
          <w:p w14:paraId="6726A5BD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50B13ACC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hideMark/>
          </w:tcPr>
          <w:p w14:paraId="3A29769B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3B7F19F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67530A0F" w14:textId="77777777" w:rsidTr="00ED3018">
        <w:tc>
          <w:tcPr>
            <w:tcW w:w="2545" w:type="dxa"/>
            <w:hideMark/>
          </w:tcPr>
          <w:p w14:paraId="5374D579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2.Liczba uruchomionych systemów teleinformatycznych w podmiotach 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wykonujących zadania publiczne</w:t>
            </w:r>
          </w:p>
        </w:tc>
        <w:tc>
          <w:tcPr>
            <w:tcW w:w="1278" w:type="dxa"/>
            <w:hideMark/>
          </w:tcPr>
          <w:p w14:paraId="442E74EC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Sztuki</w:t>
            </w:r>
          </w:p>
        </w:tc>
        <w:tc>
          <w:tcPr>
            <w:tcW w:w="1842" w:type="dxa"/>
            <w:hideMark/>
          </w:tcPr>
          <w:p w14:paraId="45486623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058335D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15B54CE1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14BF42B1" w14:textId="77777777" w:rsidTr="00ED3018">
        <w:tc>
          <w:tcPr>
            <w:tcW w:w="2545" w:type="dxa"/>
            <w:hideMark/>
          </w:tcPr>
          <w:p w14:paraId="77B5D5BC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3.Liczba pracowników IT podmiotów wykonujących zadania publiczne objętych wsparciem szkoleniowym</w:t>
            </w:r>
          </w:p>
        </w:tc>
        <w:tc>
          <w:tcPr>
            <w:tcW w:w="1278" w:type="dxa"/>
            <w:hideMark/>
          </w:tcPr>
          <w:p w14:paraId="15D589E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3C183F74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  <w:hideMark/>
          </w:tcPr>
          <w:p w14:paraId="09472B7F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0A5C5F43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54C5F084" w14:textId="77777777" w:rsidTr="00ED3018">
        <w:tc>
          <w:tcPr>
            <w:tcW w:w="2545" w:type="dxa"/>
            <w:hideMark/>
          </w:tcPr>
          <w:p w14:paraId="086E405E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4.Liczba pracowników IT podmiotów wykonujących zadania publiczne objętych wsparciem szkoleniowym kobiety.</w:t>
            </w:r>
          </w:p>
        </w:tc>
        <w:tc>
          <w:tcPr>
            <w:tcW w:w="1278" w:type="dxa"/>
            <w:hideMark/>
          </w:tcPr>
          <w:p w14:paraId="08A8153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33439CC1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43E1588D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70EFB2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3DC9016A" w14:textId="77777777" w:rsidTr="00ED3018">
        <w:tc>
          <w:tcPr>
            <w:tcW w:w="2545" w:type="dxa"/>
            <w:hideMark/>
          </w:tcPr>
          <w:p w14:paraId="48A8E0A1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5.Liczba pracowników IT podmiotów wykonujących zadania publiczne objętych wsparciem szkoleniowym – mężczyźni.</w:t>
            </w:r>
          </w:p>
        </w:tc>
        <w:tc>
          <w:tcPr>
            <w:tcW w:w="1278" w:type="dxa"/>
            <w:hideMark/>
          </w:tcPr>
          <w:p w14:paraId="11BE50D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D2F0A9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01" w:type="dxa"/>
            <w:hideMark/>
          </w:tcPr>
          <w:p w14:paraId="20B6F4B7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25D6D57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0EDAEB83" w14:textId="77777777" w:rsidTr="00ED3018">
        <w:tc>
          <w:tcPr>
            <w:tcW w:w="2545" w:type="dxa"/>
            <w:hideMark/>
          </w:tcPr>
          <w:p w14:paraId="634813A7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6.Liczba pracowników podmiotów wykonujących zadania publiczne niebędących pracownikami IT, objętych wsparciem szkoleniowym</w:t>
            </w:r>
          </w:p>
        </w:tc>
        <w:tc>
          <w:tcPr>
            <w:tcW w:w="1278" w:type="dxa"/>
            <w:hideMark/>
          </w:tcPr>
          <w:p w14:paraId="5F26C6D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6DA6B90F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  <w:hideMark/>
          </w:tcPr>
          <w:p w14:paraId="301672E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843DF50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354D641A" w14:textId="77777777" w:rsidTr="00ED3018">
        <w:tc>
          <w:tcPr>
            <w:tcW w:w="2545" w:type="dxa"/>
            <w:hideMark/>
          </w:tcPr>
          <w:p w14:paraId="7F89C632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7.Liczba pracowników podmiotów wykonujących zadania publiczne niebędących pracownikami IT, objętych wsparciem szkoleniowym – kobiety.</w:t>
            </w:r>
          </w:p>
        </w:tc>
        <w:tc>
          <w:tcPr>
            <w:tcW w:w="1278" w:type="dxa"/>
            <w:hideMark/>
          </w:tcPr>
          <w:p w14:paraId="6385628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0F2294C4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hideMark/>
          </w:tcPr>
          <w:p w14:paraId="3CB1D90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0DDEBEE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555C0BFE" w14:textId="77777777" w:rsidTr="00ED3018">
        <w:tc>
          <w:tcPr>
            <w:tcW w:w="2545" w:type="dxa"/>
            <w:hideMark/>
          </w:tcPr>
          <w:p w14:paraId="75061348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8.Liczba pracowników podmiotów wykonujących zadania publiczne niebędących pracownikami IT, objętych wsparciem szkoleniowym – mężczyźni.</w:t>
            </w:r>
          </w:p>
        </w:tc>
        <w:tc>
          <w:tcPr>
            <w:tcW w:w="1278" w:type="dxa"/>
            <w:hideMark/>
          </w:tcPr>
          <w:p w14:paraId="051EA932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044D965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  <w:hideMark/>
          </w:tcPr>
          <w:p w14:paraId="2F8D63C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5E394013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420F10DA" w14:textId="77777777" w:rsidTr="00ED3018">
        <w:tc>
          <w:tcPr>
            <w:tcW w:w="2545" w:type="dxa"/>
            <w:hideMark/>
          </w:tcPr>
          <w:p w14:paraId="4744E91D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9. Szacunkowy czas reje-stracji przez użytkownika pojedynczego zgłoszenia KZNZ (wprowadzenia 1 karty)</w:t>
            </w:r>
          </w:p>
        </w:tc>
        <w:tc>
          <w:tcPr>
            <w:tcW w:w="1278" w:type="dxa"/>
            <w:hideMark/>
          </w:tcPr>
          <w:p w14:paraId="39AFCF3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Czas</w:t>
            </w:r>
          </w:p>
        </w:tc>
        <w:tc>
          <w:tcPr>
            <w:tcW w:w="1842" w:type="dxa"/>
            <w:hideMark/>
          </w:tcPr>
          <w:p w14:paraId="28ACFDA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hideMark/>
          </w:tcPr>
          <w:p w14:paraId="0F8B712B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73814A5F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 (wartość wyjściowa)</w:t>
            </w:r>
          </w:p>
        </w:tc>
      </w:tr>
      <w:tr w:rsidR="00ED3018" w14:paraId="5022615B" w14:textId="77777777" w:rsidTr="00ED3018">
        <w:tc>
          <w:tcPr>
            <w:tcW w:w="2545" w:type="dxa"/>
            <w:hideMark/>
          </w:tcPr>
          <w:p w14:paraId="57065C3A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10. Liczba użytkowników (lekarze i personel medyczny), wprowadzających karty KZNZ do systemu KRN.</w:t>
            </w:r>
          </w:p>
        </w:tc>
        <w:tc>
          <w:tcPr>
            <w:tcW w:w="1278" w:type="dxa"/>
            <w:hideMark/>
          </w:tcPr>
          <w:p w14:paraId="2A0CFF87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FB3AB7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hideMark/>
          </w:tcPr>
          <w:p w14:paraId="3AC5003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2A71D7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300 (wartość wyjściowa)</w:t>
            </w:r>
          </w:p>
        </w:tc>
      </w:tr>
      <w:tr w:rsidR="00ED3018" w14:paraId="2FBCB71C" w14:textId="77777777" w:rsidTr="00ED3018">
        <w:tc>
          <w:tcPr>
            <w:tcW w:w="2545" w:type="dxa"/>
            <w:hideMark/>
          </w:tcPr>
          <w:p w14:paraId="51FDB4F4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11. Liczba systemów HIS, które posiadają w pełni zautomatyzowany proces przesyłania danych do KRN.</w:t>
            </w:r>
          </w:p>
        </w:tc>
        <w:tc>
          <w:tcPr>
            <w:tcW w:w="1278" w:type="dxa"/>
            <w:hideMark/>
          </w:tcPr>
          <w:p w14:paraId="0D13C6C4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ABD03A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hideMark/>
          </w:tcPr>
          <w:p w14:paraId="5042DFB6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08D171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4DB98D0F" w14:textId="77777777" w:rsidTr="00ED3018">
        <w:tc>
          <w:tcPr>
            <w:tcW w:w="2545" w:type="dxa"/>
            <w:hideMark/>
          </w:tcPr>
          <w:p w14:paraId="75C98582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12. Odsetek kompletności informacji o Przypadku.</w:t>
            </w:r>
          </w:p>
        </w:tc>
        <w:tc>
          <w:tcPr>
            <w:tcW w:w="1278" w:type="dxa"/>
            <w:hideMark/>
          </w:tcPr>
          <w:p w14:paraId="4F13D259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Odsetek</w:t>
            </w:r>
          </w:p>
        </w:tc>
        <w:tc>
          <w:tcPr>
            <w:tcW w:w="1842" w:type="dxa"/>
            <w:hideMark/>
          </w:tcPr>
          <w:p w14:paraId="46797F9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87%</w:t>
            </w:r>
          </w:p>
        </w:tc>
        <w:tc>
          <w:tcPr>
            <w:tcW w:w="1701" w:type="dxa"/>
            <w:hideMark/>
          </w:tcPr>
          <w:p w14:paraId="3E1FB25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109BD8C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60% (wartość wyjściowa)</w:t>
            </w:r>
          </w:p>
        </w:tc>
      </w:tr>
    </w:tbl>
    <w:p w14:paraId="52A08447" w14:textId="2E3D753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7FF3354" w:rsidR="007D38BD" w:rsidRPr="00ED3018" w:rsidRDefault="00ED3018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3018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265533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1E652212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13442CB6" w:rsidR="00C6751B" w:rsidRPr="00141A92" w:rsidRDefault="00ED3018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D3018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10075A0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973F811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9AD3F9B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3018" w14:paraId="5ECA42DC" w14:textId="77777777" w:rsidTr="00ED3018">
        <w:trPr>
          <w:trHeight w:val="907"/>
        </w:trPr>
        <w:tc>
          <w:tcPr>
            <w:tcW w:w="2547" w:type="dxa"/>
            <w:hideMark/>
          </w:tcPr>
          <w:p w14:paraId="593EC3B2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Zintegrowana Platforma Rejestrów Onkologicznych (ZPRO)</w:t>
            </w:r>
          </w:p>
        </w:tc>
        <w:tc>
          <w:tcPr>
            <w:tcW w:w="1701" w:type="dxa"/>
            <w:hideMark/>
          </w:tcPr>
          <w:p w14:paraId="57E65BE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3B619240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9348475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360A90CD" w14:textId="77777777" w:rsidTr="00ED3018">
        <w:trPr>
          <w:trHeight w:val="648"/>
        </w:trPr>
        <w:tc>
          <w:tcPr>
            <w:tcW w:w="2547" w:type="dxa"/>
            <w:hideMark/>
          </w:tcPr>
          <w:p w14:paraId="1073E145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Generator Rejestrów Narządowych</w:t>
            </w:r>
          </w:p>
        </w:tc>
        <w:tc>
          <w:tcPr>
            <w:tcW w:w="1701" w:type="dxa"/>
            <w:hideMark/>
          </w:tcPr>
          <w:p w14:paraId="4895C465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349C369A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67E7789A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29AFD756" w14:textId="77777777" w:rsidTr="00ED3018">
        <w:trPr>
          <w:trHeight w:val="685"/>
        </w:trPr>
        <w:tc>
          <w:tcPr>
            <w:tcW w:w="2547" w:type="dxa"/>
            <w:hideMark/>
          </w:tcPr>
          <w:p w14:paraId="4E61CEA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KRN (na platformie ZPRO)</w:t>
            </w:r>
          </w:p>
        </w:tc>
        <w:tc>
          <w:tcPr>
            <w:tcW w:w="1701" w:type="dxa"/>
            <w:hideMark/>
          </w:tcPr>
          <w:p w14:paraId="1942CA9F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3263EE55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EBB120A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24C6112F" w14:textId="77777777" w:rsidTr="00ED3018">
        <w:trPr>
          <w:trHeight w:val="406"/>
        </w:trPr>
        <w:tc>
          <w:tcPr>
            <w:tcW w:w="2547" w:type="dxa"/>
            <w:hideMark/>
          </w:tcPr>
          <w:p w14:paraId="59E4BF94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PROH</w:t>
            </w:r>
          </w:p>
        </w:tc>
        <w:tc>
          <w:tcPr>
            <w:tcW w:w="1701" w:type="dxa"/>
            <w:hideMark/>
          </w:tcPr>
          <w:p w14:paraId="37967997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2C3741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F4A69B5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2B0D1F79" w14:textId="77777777" w:rsidTr="00ED3018">
        <w:trPr>
          <w:trHeight w:val="857"/>
        </w:trPr>
        <w:tc>
          <w:tcPr>
            <w:tcW w:w="2547" w:type="dxa"/>
            <w:hideMark/>
          </w:tcPr>
          <w:p w14:paraId="5D8DF60A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Integracja z systemami szpitalnymi partnerów projektu</w:t>
            </w:r>
          </w:p>
        </w:tc>
        <w:tc>
          <w:tcPr>
            <w:tcW w:w="1701" w:type="dxa"/>
            <w:hideMark/>
          </w:tcPr>
          <w:p w14:paraId="2A24BFCA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5EDE8046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8EBD9B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559"/>
        <w:gridCol w:w="4252"/>
      </w:tblGrid>
      <w:tr w:rsidR="00322614" w:rsidRPr="002B50C0" w14:paraId="1581B854" w14:textId="77777777" w:rsidTr="00BE5B62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31E39" w14:paraId="43D6FDFD" w14:textId="77777777" w:rsidTr="00BE5B62">
        <w:tc>
          <w:tcPr>
            <w:tcW w:w="2410" w:type="dxa"/>
            <w:hideMark/>
          </w:tcPr>
          <w:p w14:paraId="06D3B0E4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Przedłużające się procedury przetargowe </w:t>
            </w:r>
          </w:p>
        </w:tc>
        <w:tc>
          <w:tcPr>
            <w:tcW w:w="1418" w:type="dxa"/>
            <w:hideMark/>
          </w:tcPr>
          <w:p w14:paraId="0235BF9F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1559" w:type="dxa"/>
            <w:hideMark/>
          </w:tcPr>
          <w:p w14:paraId="6304F15B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4252" w:type="dxa"/>
            <w:hideMark/>
          </w:tcPr>
          <w:p w14:paraId="4FAC0B8C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1643E263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projekty z wykonawcą, który zaproponuje najkorzystniejsze warunki realizacji zamówienia.</w:t>
            </w:r>
          </w:p>
          <w:p w14:paraId="540CF595" w14:textId="77777777" w:rsidR="00BE5B62" w:rsidRDefault="00BE5B6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550B25A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  <w:tr w:rsidR="00E31E39" w14:paraId="01288843" w14:textId="77777777" w:rsidTr="00BE5B62">
        <w:tc>
          <w:tcPr>
            <w:tcW w:w="2410" w:type="dxa"/>
            <w:hideMark/>
          </w:tcPr>
          <w:p w14:paraId="29DA9DD7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zmian w zakresie funkcjonalności systemu, wymaganych w związku z wejściem w życie nowych wymogów prawnych, co może skutkować zmianami funkcjonalności systemów w trakcie realizacji Projektu, a przez to prowadzić do opóźnień w jego realizacji. </w:t>
            </w:r>
          </w:p>
        </w:tc>
        <w:tc>
          <w:tcPr>
            <w:tcW w:w="1418" w:type="dxa"/>
            <w:hideMark/>
          </w:tcPr>
          <w:p w14:paraId="42E60D28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559" w:type="dxa"/>
            <w:hideMark/>
          </w:tcPr>
          <w:p w14:paraId="0E939F63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4252" w:type="dxa"/>
            <w:hideMark/>
          </w:tcPr>
          <w:p w14:paraId="50564300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Monitorowanie zmian legislacyjnych mających wpływ na przedmiot projektu. Ciągłe angażowanie przedstawicieli odbiorców w prace związane z wdrożeniem rozwiązania teleinformatycznego zgodnych z bieżącym stanem prawnym. </w:t>
            </w:r>
          </w:p>
          <w:p w14:paraId="18552D05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Dostosowanie funkcjonalności do wymagań prawnych, minimalizacja opóźnień związanych z ich wdrożeniem.</w:t>
            </w:r>
          </w:p>
          <w:p w14:paraId="16ACE060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  <w:tr w:rsidR="00E31E39" w14:paraId="5BBDC759" w14:textId="77777777" w:rsidTr="00BE5B62">
        <w:tc>
          <w:tcPr>
            <w:tcW w:w="2410" w:type="dxa"/>
            <w:hideMark/>
          </w:tcPr>
          <w:p w14:paraId="0B002D76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błędów działania systemu niewykrytych na etapie wdrożenia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418" w:type="dxa"/>
            <w:hideMark/>
          </w:tcPr>
          <w:p w14:paraId="20DCC769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hideMark/>
          </w:tcPr>
          <w:p w14:paraId="50DAC752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4252" w:type="dxa"/>
            <w:hideMark/>
          </w:tcPr>
          <w:p w14:paraId="741D7183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1.Stosowanie właściwych metodyk zarządzania procesem tworzenia oprogramowania – metodyki zwinne. Monitorowanie wdrażania norm związanych z bezpieczeństwem i wydajnością systemu zawartych w OPZ.</w:t>
            </w:r>
          </w:p>
          <w:p w14:paraId="28989325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0051C34B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  <w:tr w:rsidR="00E31E39" w14:paraId="4753C448" w14:textId="77777777" w:rsidTr="00BE5B62">
        <w:tc>
          <w:tcPr>
            <w:tcW w:w="2410" w:type="dxa"/>
            <w:hideMark/>
          </w:tcPr>
          <w:p w14:paraId="1A957688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możliwości pełnej automatyzacji zasilenia karty KZNZ.</w:t>
            </w:r>
          </w:p>
        </w:tc>
        <w:tc>
          <w:tcPr>
            <w:tcW w:w="1418" w:type="dxa"/>
            <w:hideMark/>
          </w:tcPr>
          <w:p w14:paraId="72F0EF0F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Duża</w:t>
            </w:r>
          </w:p>
        </w:tc>
        <w:tc>
          <w:tcPr>
            <w:tcW w:w="1559" w:type="dxa"/>
            <w:hideMark/>
          </w:tcPr>
          <w:p w14:paraId="2010005F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4252" w:type="dxa"/>
            <w:hideMark/>
          </w:tcPr>
          <w:p w14:paraId="20EB01F9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1.Opracowanie wysokiej jakości analizy przedwdrożeniowej i realne oszacowanie stopnia możliwości integracji z bazami systemów szpitalnych. Opracowanie właściwych modeli wymiany danych między systemami. Opracowanie szczegółowego modelu testowania i korekty działań w wypadku stwierdzenia błędów wynikających z procesu integracji. </w:t>
            </w:r>
          </w:p>
          <w:p w14:paraId="72B76F8B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 Uzyskanie pełnego zakresu informacji gromadzonych w rejestrach onkologicznych na platformie ZPRO. Maksymalizacja zakresu danych kodowanych w sposób automatyczny, minimalizacja zakresu danych, które wymagają kodowania i poprawy jakości przez pracowników rejestrów.</w:t>
            </w:r>
          </w:p>
          <w:p w14:paraId="023F0948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  <w:tr w:rsidR="00E31E39" w14:paraId="7FA8BDCC" w14:textId="77777777" w:rsidTr="00BE5B62">
        <w:tc>
          <w:tcPr>
            <w:tcW w:w="2410" w:type="dxa"/>
            <w:hideMark/>
          </w:tcPr>
          <w:p w14:paraId="739DCFAE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Brak skutecznej koordynacji działań projektowych</w:t>
            </w:r>
          </w:p>
        </w:tc>
        <w:tc>
          <w:tcPr>
            <w:tcW w:w="1418" w:type="dxa"/>
            <w:hideMark/>
          </w:tcPr>
          <w:p w14:paraId="083528AC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hideMark/>
          </w:tcPr>
          <w:p w14:paraId="7A65F5AB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Niskie</w:t>
            </w:r>
          </w:p>
        </w:tc>
        <w:tc>
          <w:tcPr>
            <w:tcW w:w="4252" w:type="dxa"/>
            <w:hideMark/>
          </w:tcPr>
          <w:p w14:paraId="348EA140" w14:textId="77777777" w:rsidR="00E31E39" w:rsidRDefault="00E31E39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1.Wdrożenie mechanizmów komunikacji oraz bieżące monitorowanie skuteczności działań. Ciągłe angażowanie przedstawicieli odbiorców w prace związane z wdrożeniem rozwiązania teleinformatycznego będącego przedmiotem projektu.</w:t>
            </w:r>
          </w:p>
          <w:p w14:paraId="5ECCDF1A" w14:textId="77777777" w:rsidR="00E31E39" w:rsidRDefault="00E31E39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2. 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7497D3E4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Ryzyko nie zmieniło się w stosunku do stanu początkowego projektu (pierwszy kwartał realizacji projektu)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984"/>
        <w:gridCol w:w="3543"/>
      </w:tblGrid>
      <w:tr w:rsidR="0091332C" w:rsidRPr="006334BF" w14:paraId="061EEDF1" w14:textId="77777777" w:rsidTr="00BE5B62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0507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050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0507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050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E5B62" w14:paraId="79035E91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0412E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braku zabezpieczenia środków finansowych na utrzymanie systemu po jego wdrożeniu.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16DD4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F6257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C750D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1. Analiza kosztów utrzymania systemu i zabezpieczenie odpowiednich środków w budżecie Państwa (Ministerstwa Zdrowia). Do 2024 środki zapewnione w NPZCHN.</w:t>
            </w:r>
          </w:p>
        </w:tc>
      </w:tr>
      <w:tr w:rsidR="00BE5B62" w14:paraId="6201D5BD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FE1A1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nieosiągnięcia zakładanych wskaźników rezultatu – zbyt małe zainteresowanie użytkowników.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FA831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43D4F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0F3EB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Prowadzenie akcji promocyjnej Projektu – informowanie świadczeniodawców o możliwościach udostępnionych przez wdrożony system. Przeprowadzanie szkoleń z zakresu użytkowania systemu.</w:t>
            </w:r>
          </w:p>
          <w:p w14:paraId="503A2748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Bieżące monitorowanie i kontrolowanie realizacji wskaźników Projektu.</w:t>
            </w:r>
          </w:p>
        </w:tc>
      </w:tr>
      <w:tr w:rsidR="00BE5B62" w14:paraId="3F97CA8D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192AA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nieodpowiedniego zabezpieczenia przetwarzanych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4903F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EB0E7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57CF5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 xml:space="preserve">Opracowane wytycznych (zalecenia) w zakresie bezpiecznego przetwarzania danych przez podmioty korzystające z systemu. 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62FED80" w14:textId="77777777" w:rsidR="00BE5B62" w:rsidRPr="00BE5B62" w:rsidRDefault="00BE5B62" w:rsidP="00BE5B62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AA52E42" w14:textId="77777777" w:rsidR="00BE5B62" w:rsidRPr="00BE5B62" w:rsidRDefault="00BB059E" w:rsidP="00BE5B62">
      <w:pPr>
        <w:pStyle w:val="Akapitzlist"/>
        <w:numPr>
          <w:ilvl w:val="0"/>
          <w:numId w:val="19"/>
        </w:numPr>
        <w:rPr>
          <w:rFonts w:ascii="Arial" w:hAnsi="Arial" w:cs="Arial"/>
          <w:color w:val="0070C0"/>
          <w:sz w:val="18"/>
          <w:szCs w:val="18"/>
        </w:rPr>
      </w:pPr>
      <w:r w:rsidRPr="00BE5B6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BE5B62">
        <w:rPr>
          <w:rStyle w:val="Nagwek2Znak"/>
          <w:rFonts w:ascii="Arial" w:hAnsi="Arial" w:cs="Arial"/>
          <w:b/>
          <w:color w:val="000000" w:themeColor="text1"/>
          <w:sz w:val="22"/>
          <w:szCs w:val="22"/>
        </w:rPr>
        <w:t>:</w:t>
      </w:r>
      <w:r w:rsidRPr="00BE5B62">
        <w:rPr>
          <w:rFonts w:ascii="Arial" w:hAnsi="Arial" w:cs="Arial"/>
          <w:b/>
          <w:color w:val="000000" w:themeColor="text1"/>
        </w:rPr>
        <w:t xml:space="preserve"> </w:t>
      </w:r>
      <w:r w:rsidR="00BE5B62" w:rsidRPr="00BE5B62">
        <w:rPr>
          <w:rFonts w:ascii="Arial" w:hAnsi="Arial" w:cs="Arial"/>
          <w:color w:val="000000" w:themeColor="text1"/>
        </w:rPr>
        <w:t>Urszula Wojciechowska, Zakład Epidemiologii i Prewencji Nowotworów, Krajowy Rejestr nowotworów, adres e-mail: Urszula.Wojciechowska@coi.pl, telefon: 22 570 94 35</w:t>
      </w:r>
    </w:p>
    <w:p w14:paraId="0FA2F07F" w14:textId="230ED244" w:rsidR="00BB059E" w:rsidRPr="00A92887" w:rsidRDefault="00BB059E" w:rsidP="00BE5B6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5A0D0" w14:textId="77777777" w:rsidR="0063123E" w:rsidRDefault="0063123E" w:rsidP="00BB2420">
      <w:pPr>
        <w:spacing w:after="0" w:line="240" w:lineRule="auto"/>
      </w:pPr>
      <w:r>
        <w:separator/>
      </w:r>
    </w:p>
  </w:endnote>
  <w:endnote w:type="continuationSeparator" w:id="0">
    <w:p w14:paraId="4098F806" w14:textId="77777777" w:rsidR="0063123E" w:rsidRDefault="0063123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68C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8B7FB" w14:textId="77777777" w:rsidR="0063123E" w:rsidRDefault="0063123E" w:rsidP="00BB2420">
      <w:pPr>
        <w:spacing w:after="0" w:line="240" w:lineRule="auto"/>
      </w:pPr>
      <w:r>
        <w:separator/>
      </w:r>
    </w:p>
  </w:footnote>
  <w:footnote w:type="continuationSeparator" w:id="0">
    <w:p w14:paraId="01B47965" w14:textId="77777777" w:rsidR="0063123E" w:rsidRDefault="0063123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3FC10C21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68CB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3862"/>
    <w:rsid w:val="002F29A3"/>
    <w:rsid w:val="0030196F"/>
    <w:rsid w:val="00302775"/>
    <w:rsid w:val="00304D04"/>
    <w:rsid w:val="00305072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123E"/>
    <w:rsid w:val="006334BF"/>
    <w:rsid w:val="00635A54"/>
    <w:rsid w:val="00661A62"/>
    <w:rsid w:val="006731D9"/>
    <w:rsid w:val="006822BC"/>
    <w:rsid w:val="006948D3"/>
    <w:rsid w:val="006A10D4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36B7D"/>
    <w:rsid w:val="0095183B"/>
    <w:rsid w:val="00952126"/>
    <w:rsid w:val="00952617"/>
    <w:rsid w:val="0095429E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3B6"/>
    <w:rsid w:val="00B87D3D"/>
    <w:rsid w:val="00B91243"/>
    <w:rsid w:val="00BA481C"/>
    <w:rsid w:val="00BA73AF"/>
    <w:rsid w:val="00BB059E"/>
    <w:rsid w:val="00BB18FD"/>
    <w:rsid w:val="00BB2420"/>
    <w:rsid w:val="00BB49AC"/>
    <w:rsid w:val="00BB5ACE"/>
    <w:rsid w:val="00BC1BD2"/>
    <w:rsid w:val="00BC6BE4"/>
    <w:rsid w:val="00BE47CD"/>
    <w:rsid w:val="00BE5B62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1E39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D3018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66A17-EAC0-45EA-B1F7-40550AE3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1469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2020-07-02T13:26:00Z</dcterms:created>
  <dcterms:modified xsi:type="dcterms:W3CDTF">2020-07-08T13:42:00Z</dcterms:modified>
</cp:coreProperties>
</file>